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7" w:rsidRPr="00444A16" w:rsidRDefault="0075069C" w:rsidP="00F71A33">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8E5788" w:rsidRPr="008E5788">
        <w:t xml:space="preserve">R4-2107312 </w:t>
      </w:r>
      <w:r w:rsidR="005C3EE4"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65485">
        <w:rPr>
          <w:rFonts w:ascii="Arial" w:hAnsi="Arial" w:cs="Arial" w:hint="eastAsia"/>
          <w:sz w:val="22"/>
        </w:rPr>
        <w:t xml:space="preserve">, </w:t>
      </w:r>
      <w:proofErr w:type="spellStart"/>
      <w:r w:rsidR="00665485">
        <w:rPr>
          <w:rFonts w:ascii="Arial" w:hAnsi="Arial" w:cs="Arial" w:hint="eastAsia"/>
          <w:sz w:val="22"/>
        </w:rPr>
        <w:t>Hi</w:t>
      </w:r>
      <w:r w:rsidR="00665485">
        <w:rPr>
          <w:rFonts w:ascii="Arial" w:hAnsi="Arial" w:cs="Arial"/>
          <w:sz w:val="22"/>
        </w:rPr>
        <w:t>S</w:t>
      </w:r>
      <w:bookmarkStart w:id="2" w:name="_GoBack"/>
      <w:bookmarkEnd w:id="2"/>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5D26" w:rsidRPr="009B5D26">
        <w:rPr>
          <w:rFonts w:ascii="Arial" w:hAnsi="Arial" w:cs="Arial"/>
          <w:sz w:val="22"/>
        </w:rPr>
        <w:t>On RMR 900MHz band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E5788">
        <w:rPr>
          <w:rFonts w:ascii="Arial" w:hAnsi="Arial" w:cs="Arial"/>
          <w:sz w:val="22"/>
        </w:rPr>
        <w:t>7.43.1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8624E7" w:rsidRDefault="003C6882" w:rsidP="00506149">
      <w:r>
        <w:t>A new WI on</w:t>
      </w:r>
      <w:r w:rsidR="00CD2946">
        <w:t xml:space="preserve"> introduction of </w:t>
      </w:r>
      <w:r w:rsidRPr="003C6882">
        <w:t>900 MHz spectrum to 5G NR applicable for Rail Mobile Radio</w:t>
      </w:r>
      <w:r>
        <w:t xml:space="preserve"> was approved in RAN#91e meeting [1]. </w:t>
      </w:r>
      <w:r w:rsidR="008624E7">
        <w:t xml:space="preserve"> </w:t>
      </w:r>
    </w:p>
    <w:p w:rsidR="009A089A" w:rsidRDefault="005369EE" w:rsidP="009A089A">
      <w:r>
        <w:t xml:space="preserve">This contribution provides our consideration on </w:t>
      </w:r>
      <w:r w:rsidR="00CD2946">
        <w:t xml:space="preserve">RMR </w:t>
      </w:r>
      <w:r w:rsidR="00537EC6" w:rsidRPr="00537EC6">
        <w:t>900MHz band</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3C6882" w:rsidP="005369EE">
      <w:pPr>
        <w:pStyle w:val="Heading2"/>
        <w:spacing w:after="240"/>
      </w:pPr>
      <w:r>
        <w:t>WI objective</w:t>
      </w:r>
      <w:r w:rsidR="005369EE">
        <w:t>s</w:t>
      </w:r>
    </w:p>
    <w:p w:rsidR="003C6882" w:rsidRDefault="00537EC6" w:rsidP="005369EE">
      <w:pPr>
        <w:rPr>
          <w:lang w:eastAsia="en-US"/>
        </w:rPr>
      </w:pPr>
      <w:r>
        <w:rPr>
          <w:lang w:eastAsia="en-US"/>
        </w:rPr>
        <w:t xml:space="preserve">The objectives of the WI are copied as below for reference. </w:t>
      </w:r>
    </w:p>
    <w:p w:rsidR="009A217C" w:rsidRPr="009A217C" w:rsidRDefault="009A217C" w:rsidP="009A217C">
      <w:pPr>
        <w:numPr>
          <w:ilvl w:val="0"/>
          <w:numId w:val="43"/>
        </w:numPr>
        <w:spacing w:after="0"/>
        <w:rPr>
          <w:bCs/>
          <w:i/>
          <w:lang w:eastAsia="ja-JP"/>
        </w:rPr>
      </w:pPr>
      <w:r w:rsidRPr="009A217C">
        <w:rPr>
          <w:bCs/>
          <w:i/>
          <w:lang w:eastAsia="ja-JP"/>
        </w:rPr>
        <w:t xml:space="preserve">Specify a new NR FDD operating band to include band numbering and core requirements to operate in Europe by considering that: </w:t>
      </w:r>
    </w:p>
    <w:p w:rsidR="009A217C" w:rsidRPr="009A217C" w:rsidRDefault="009A217C" w:rsidP="009A217C">
      <w:pPr>
        <w:numPr>
          <w:ilvl w:val="1"/>
          <w:numId w:val="43"/>
        </w:numPr>
        <w:spacing w:after="0"/>
        <w:rPr>
          <w:bCs/>
          <w:i/>
          <w:lang w:eastAsia="ja-JP"/>
        </w:rPr>
      </w:pPr>
      <w:r w:rsidRPr="009A217C">
        <w:rPr>
          <w:bCs/>
          <w:i/>
          <w:lang w:eastAsia="ja-JP"/>
        </w:rPr>
        <w:t>UE transmit: 874.4 - 880 MHz, BS transmit: 919.4 MHz – 925 MHz</w:t>
      </w:r>
    </w:p>
    <w:p w:rsidR="009A217C" w:rsidRPr="009A217C" w:rsidRDefault="009A217C" w:rsidP="009A217C">
      <w:pPr>
        <w:numPr>
          <w:ilvl w:val="1"/>
          <w:numId w:val="43"/>
        </w:numPr>
        <w:spacing w:after="0"/>
        <w:rPr>
          <w:bCs/>
          <w:i/>
          <w:lang w:eastAsia="ja-JP"/>
        </w:rPr>
      </w:pPr>
      <w:r w:rsidRPr="009A217C">
        <w:rPr>
          <w:bCs/>
          <w:i/>
          <w:lang w:eastAsia="ja-JP"/>
        </w:rPr>
        <w:t>The use of UE power class 3 (23dBm);</w:t>
      </w:r>
    </w:p>
    <w:p w:rsidR="009A217C" w:rsidRPr="009A217C" w:rsidRDefault="009A217C" w:rsidP="009A217C">
      <w:pPr>
        <w:numPr>
          <w:ilvl w:val="1"/>
          <w:numId w:val="43"/>
        </w:numPr>
        <w:spacing w:after="0"/>
        <w:rPr>
          <w:bCs/>
          <w:i/>
          <w:lang w:eastAsia="ja-JP"/>
        </w:rPr>
      </w:pPr>
      <w:r w:rsidRPr="009A217C">
        <w:rPr>
          <w:bCs/>
          <w:i/>
          <w:lang w:eastAsia="ja-JP"/>
        </w:rPr>
        <w:t>To support 5 MHz channel bandwidth;</w:t>
      </w:r>
    </w:p>
    <w:p w:rsidR="009A217C" w:rsidRPr="009A217C" w:rsidRDefault="009A217C" w:rsidP="009A217C">
      <w:pPr>
        <w:numPr>
          <w:ilvl w:val="1"/>
          <w:numId w:val="43"/>
        </w:numPr>
        <w:spacing w:after="0"/>
        <w:rPr>
          <w:bCs/>
          <w:i/>
          <w:lang w:eastAsia="ja-JP"/>
        </w:rPr>
      </w:pPr>
      <w:r w:rsidRPr="009A217C">
        <w:rPr>
          <w:bCs/>
          <w:i/>
          <w:lang w:eastAsia="ja-JP"/>
        </w:rPr>
        <w:t>To support 15kHz and 30kHz SCS;</w:t>
      </w:r>
    </w:p>
    <w:p w:rsidR="009A217C" w:rsidRPr="009A217C" w:rsidRDefault="009A217C" w:rsidP="009A217C">
      <w:pPr>
        <w:numPr>
          <w:ilvl w:val="1"/>
          <w:numId w:val="43"/>
        </w:numPr>
        <w:spacing w:after="0"/>
        <w:rPr>
          <w:bCs/>
          <w:i/>
          <w:lang w:eastAsia="ja-JP"/>
        </w:rPr>
      </w:pPr>
      <w:r w:rsidRPr="009A217C">
        <w:rPr>
          <w:bCs/>
          <w:i/>
          <w:lang w:eastAsia="ja-JP"/>
        </w:rPr>
        <w:t>To support Wide Area Base Stations;</w:t>
      </w:r>
    </w:p>
    <w:p w:rsidR="009A217C" w:rsidRPr="009A217C" w:rsidRDefault="009A217C" w:rsidP="009A217C">
      <w:pPr>
        <w:numPr>
          <w:ilvl w:val="1"/>
          <w:numId w:val="43"/>
        </w:numPr>
        <w:spacing w:after="0"/>
        <w:rPr>
          <w:bCs/>
          <w:i/>
          <w:lang w:eastAsia="ja-JP"/>
        </w:rPr>
      </w:pPr>
      <w:r w:rsidRPr="009A217C">
        <w:rPr>
          <w:bCs/>
          <w:i/>
          <w:lang w:eastAsia="ja-JP"/>
        </w:rPr>
        <w:t>To support only non-AAS Base Stations;</w:t>
      </w:r>
    </w:p>
    <w:p w:rsidR="009A217C" w:rsidRPr="009A217C" w:rsidRDefault="009A217C" w:rsidP="009A217C">
      <w:pPr>
        <w:numPr>
          <w:ilvl w:val="1"/>
          <w:numId w:val="43"/>
        </w:numPr>
        <w:spacing w:after="0"/>
        <w:rPr>
          <w:bCs/>
          <w:i/>
          <w:lang w:eastAsia="ja-JP"/>
        </w:rPr>
      </w:pPr>
      <w:r w:rsidRPr="009A217C">
        <w:rPr>
          <w:i/>
        </w:rPr>
        <w:t>The Block-Edge-Mask (BEM) is developed on the basis that detailed coordination and cooperation agreements would not be required to be in place prior to network deployment.</w:t>
      </w:r>
    </w:p>
    <w:p w:rsidR="004F3C28" w:rsidRDefault="004F3C28" w:rsidP="005369EE">
      <w:pPr>
        <w:rPr>
          <w:lang w:eastAsia="en-US"/>
        </w:rPr>
      </w:pPr>
    </w:p>
    <w:p w:rsidR="004F3C28" w:rsidRDefault="004F3C28" w:rsidP="005369EE">
      <w:r>
        <w:rPr>
          <w:lang w:eastAsia="en-US"/>
        </w:rPr>
        <w:t>During the RAN discussion, operators commented that n</w:t>
      </w:r>
      <w:r>
        <w:t>egative impacts to existing deployed equipment in bands (n)8 and (n)1 shall be avoided</w:t>
      </w:r>
      <w:r w:rsidR="001E7B9B">
        <w:t xml:space="preserve">. Since the RMR bands are new operating bands, and (n)8 and (n)1 are legacy bands, which have incumbent services in the network, therefore, we agree with that the deployed network should not be affected. </w:t>
      </w:r>
    </w:p>
    <w:p w:rsidR="00C51158" w:rsidRDefault="00C51158" w:rsidP="00C51158">
      <w:pPr>
        <w:rPr>
          <w:b/>
          <w:i/>
          <w:lang w:val="en-US" w:eastAsia="en-US"/>
        </w:rPr>
      </w:pPr>
      <w:r w:rsidRPr="00583691">
        <w:rPr>
          <w:b/>
          <w:i/>
          <w:lang w:val="en-US" w:eastAsia="en-US"/>
        </w:rPr>
        <w:t xml:space="preserve">Observation </w:t>
      </w:r>
      <w:r>
        <w:rPr>
          <w:b/>
          <w:i/>
          <w:lang w:val="en-US" w:eastAsia="en-US"/>
        </w:rPr>
        <w:t>1</w:t>
      </w:r>
      <w:r w:rsidRPr="00583691">
        <w:rPr>
          <w:b/>
          <w:i/>
          <w:lang w:val="en-US" w:eastAsia="en-US"/>
        </w:rPr>
        <w:t>:</w:t>
      </w:r>
      <w:r>
        <w:rPr>
          <w:b/>
          <w:i/>
          <w:lang w:val="en-US" w:eastAsia="en-US"/>
        </w:rPr>
        <w:t xml:space="preserve"> Some description in the WID are deployment related, it should be clear that the newly introduced band shall not have impact to the incumbent deployed network. </w:t>
      </w:r>
    </w:p>
    <w:p w:rsidR="003C6882" w:rsidRDefault="003C6882" w:rsidP="003C6882">
      <w:pPr>
        <w:pStyle w:val="Heading2"/>
        <w:spacing w:after="240"/>
      </w:pPr>
      <w:r>
        <w:t>Some issues to be discussed</w:t>
      </w:r>
    </w:p>
    <w:p w:rsidR="005369EE" w:rsidRDefault="00626CE8" w:rsidP="005369EE">
      <w:pPr>
        <w:rPr>
          <w:lang w:val="en-US" w:eastAsia="en-US"/>
        </w:rPr>
      </w:pPr>
      <w:r>
        <w:rPr>
          <w:lang w:val="en-US" w:eastAsia="en-US"/>
        </w:rPr>
        <w:t>The adjacent bands around RMR</w:t>
      </w:r>
      <w:r w:rsidR="000367BA">
        <w:rPr>
          <w:lang w:val="en-US" w:eastAsia="en-US"/>
        </w:rPr>
        <w:t xml:space="preserve"> </w:t>
      </w:r>
      <w:r>
        <w:rPr>
          <w:lang w:val="en-US" w:eastAsia="en-US"/>
        </w:rPr>
        <w:t>900MHz are illustrated in Figure 1.</w:t>
      </w:r>
    </w:p>
    <w:p w:rsidR="00576D74" w:rsidRDefault="00082627" w:rsidP="00576D74">
      <w:pPr>
        <w:jc w:val="center"/>
        <w:rPr>
          <w:lang w:val="en-US" w:eastAsia="en-US"/>
        </w:rPr>
      </w:pPr>
      <w:r>
        <w:rPr>
          <w:noProof/>
          <w:lang w:val="en-US"/>
        </w:rPr>
        <w:drawing>
          <wp:inline distT="0" distB="0" distL="0" distR="0" wp14:anchorId="40BDBCA8">
            <wp:extent cx="4932474" cy="38372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8386" cy="396633"/>
                    </a:xfrm>
                    <a:prstGeom prst="rect">
                      <a:avLst/>
                    </a:prstGeom>
                    <a:noFill/>
                  </pic:spPr>
                </pic:pic>
              </a:graphicData>
            </a:graphic>
          </wp:inline>
        </w:drawing>
      </w:r>
    </w:p>
    <w:p w:rsidR="00626CE8" w:rsidRPr="00626CE8" w:rsidRDefault="00626CE8" w:rsidP="00576D74">
      <w:pPr>
        <w:jc w:val="center"/>
        <w:rPr>
          <w:rFonts w:ascii="Arial" w:hAnsi="Arial" w:cs="Arial"/>
          <w:b/>
          <w:lang w:val="en-US" w:eastAsia="en-US"/>
        </w:rPr>
      </w:pPr>
      <w:r w:rsidRPr="00626CE8">
        <w:rPr>
          <w:rFonts w:ascii="Arial" w:hAnsi="Arial" w:cs="Arial"/>
          <w:b/>
          <w:lang w:val="en-US" w:eastAsia="en-US"/>
        </w:rPr>
        <w:t>Figure</w:t>
      </w:r>
      <w:r w:rsidR="000367BA">
        <w:rPr>
          <w:rFonts w:ascii="Arial" w:hAnsi="Arial" w:cs="Arial"/>
          <w:b/>
          <w:lang w:val="en-US" w:eastAsia="en-US"/>
        </w:rPr>
        <w:t xml:space="preserve"> 1: Operating bands around RMR </w:t>
      </w:r>
      <w:r w:rsidRPr="00626CE8">
        <w:rPr>
          <w:rFonts w:ascii="Arial" w:hAnsi="Arial" w:cs="Arial"/>
          <w:b/>
          <w:lang w:val="en-US" w:eastAsia="en-US"/>
        </w:rPr>
        <w:t>900MHz</w:t>
      </w:r>
    </w:p>
    <w:p w:rsidR="00576D74" w:rsidRDefault="000367BA" w:rsidP="005369EE">
      <w:pPr>
        <w:rPr>
          <w:lang w:val="en-US" w:eastAsia="en-US"/>
        </w:rPr>
      </w:pPr>
      <w:r>
        <w:rPr>
          <w:lang w:val="en-US" w:eastAsia="en-US"/>
        </w:rPr>
        <w:t xml:space="preserve">RMR </w:t>
      </w:r>
      <w:r w:rsidR="002323F1">
        <w:rPr>
          <w:lang w:val="en-US" w:eastAsia="en-US"/>
        </w:rPr>
        <w:t xml:space="preserve">900M is a </w:t>
      </w:r>
      <w:r>
        <w:rPr>
          <w:lang w:val="en-US" w:eastAsia="en-US"/>
        </w:rPr>
        <w:t>F</w:t>
      </w:r>
      <w:r w:rsidR="002323F1">
        <w:rPr>
          <w:lang w:val="en-US" w:eastAsia="en-US"/>
        </w:rPr>
        <w:t>DD band,</w:t>
      </w:r>
      <w:r>
        <w:rPr>
          <w:lang w:val="en-US" w:eastAsia="en-US"/>
        </w:rPr>
        <w:t xml:space="preserve"> as the RMR DL spectrum is close to B8/n8 UL spectrum, more attention should be paid to guarantee the RMR system shall not have impact to the deployed B8/n8 network. </w:t>
      </w:r>
    </w:p>
    <w:p w:rsidR="00CD2946" w:rsidRDefault="00CD2946" w:rsidP="005369EE">
      <w:pPr>
        <w:rPr>
          <w:lang w:val="en-US" w:eastAsia="en-US"/>
        </w:rPr>
      </w:pPr>
      <w:r>
        <w:rPr>
          <w:lang w:val="en-US" w:eastAsia="en-US"/>
        </w:rPr>
        <w:t>Some general consideration on RMR bands have been given in [2]. Based on the similar WID objectives, we have similar observations as well.</w:t>
      </w:r>
    </w:p>
    <w:p w:rsidR="00CD2946" w:rsidRDefault="00CD2946" w:rsidP="00CD2946">
      <w:pPr>
        <w:rPr>
          <w:b/>
          <w:i/>
          <w:lang w:val="en-US" w:eastAsia="en-US"/>
        </w:rPr>
      </w:pPr>
      <w:r w:rsidRPr="00583691">
        <w:rPr>
          <w:b/>
          <w:i/>
          <w:lang w:val="en-US" w:eastAsia="en-US"/>
        </w:rPr>
        <w:lastRenderedPageBreak/>
        <w:t xml:space="preserve">Observation </w:t>
      </w:r>
      <w:r>
        <w:rPr>
          <w:b/>
          <w:i/>
          <w:lang w:val="en-US" w:eastAsia="en-US"/>
        </w:rPr>
        <w:t>2</w:t>
      </w:r>
      <w:r w:rsidRPr="00583691">
        <w:rPr>
          <w:b/>
          <w:i/>
          <w:lang w:val="en-US" w:eastAsia="en-US"/>
        </w:rPr>
        <w:t xml:space="preserve">: </w:t>
      </w:r>
      <w:r>
        <w:rPr>
          <w:b/>
          <w:i/>
          <w:lang w:val="en-US" w:eastAsia="en-US"/>
        </w:rPr>
        <w:t xml:space="preserve">Requirement of BEM in the WID objective needs to be clarified. </w:t>
      </w:r>
    </w:p>
    <w:p w:rsidR="00583691" w:rsidRDefault="00C901F9" w:rsidP="00583691">
      <w:pPr>
        <w:rPr>
          <w:b/>
          <w:i/>
          <w:lang w:val="en-US" w:eastAsia="en-US"/>
        </w:rPr>
      </w:pPr>
      <w:r>
        <w:rPr>
          <w:b/>
          <w:i/>
          <w:lang w:val="en-US" w:eastAsia="en-US"/>
        </w:rPr>
        <w:t>Observation</w:t>
      </w:r>
      <w:r>
        <w:rPr>
          <w:rFonts w:hint="eastAsia"/>
        </w:rPr>
        <w:t xml:space="preserve"> </w:t>
      </w:r>
      <w:r w:rsidRPr="00C901F9">
        <w:rPr>
          <w:b/>
          <w:i/>
        </w:rPr>
        <w:t>3</w:t>
      </w:r>
      <w:r w:rsidR="00583691" w:rsidRPr="00583691">
        <w:rPr>
          <w:b/>
          <w:i/>
          <w:lang w:val="en-US" w:eastAsia="en-US"/>
        </w:rPr>
        <w:t xml:space="preserve">: </w:t>
      </w:r>
      <w:r w:rsidR="00583691">
        <w:rPr>
          <w:b/>
          <w:i/>
          <w:lang w:val="en-US" w:eastAsia="en-US"/>
        </w:rPr>
        <w:t xml:space="preserve">It’s not clear whether some regional regulatory requirements need to be considered </w:t>
      </w:r>
      <w:r>
        <w:rPr>
          <w:b/>
          <w:i/>
          <w:lang w:val="en-US" w:eastAsia="en-US"/>
        </w:rPr>
        <w:t>to define some UE band specific requirements</w:t>
      </w:r>
      <w:r w:rsidR="00583691">
        <w:rPr>
          <w:b/>
          <w:i/>
          <w:lang w:val="en-US" w:eastAsia="en-US"/>
        </w:rPr>
        <w:t xml:space="preserve">. </w:t>
      </w:r>
    </w:p>
    <w:p w:rsidR="00CD2946" w:rsidRDefault="00B83212" w:rsidP="00583691">
      <w:pPr>
        <w:rPr>
          <w:lang w:val="en-US" w:eastAsia="en-US"/>
        </w:rPr>
      </w:pPr>
      <w:r>
        <w:rPr>
          <w:lang w:val="en-US" w:eastAsia="en-US"/>
        </w:rPr>
        <w:t xml:space="preserve">Apart from the observations according to the WID, we also noticed that there are some </w:t>
      </w:r>
      <w:r w:rsidRPr="00B83212">
        <w:rPr>
          <w:lang w:val="en-US" w:eastAsia="en-US"/>
        </w:rPr>
        <w:t xml:space="preserve">technical conditions for GSM-R in 874.4-880.0 MHz / 919.4-925.0 </w:t>
      </w:r>
      <w:proofErr w:type="spellStart"/>
      <w:r w:rsidRPr="00B83212">
        <w:rPr>
          <w:lang w:val="en-US" w:eastAsia="en-US"/>
        </w:rPr>
        <w:t>MHz</w:t>
      </w:r>
      <w:r>
        <w:rPr>
          <w:lang w:val="en-US" w:eastAsia="en-US"/>
        </w:rPr>
        <w:t>.</w:t>
      </w:r>
      <w:proofErr w:type="spellEnd"/>
      <w:r>
        <w:rPr>
          <w:lang w:val="en-US" w:eastAsia="en-US"/>
        </w:rPr>
        <w:t xml:space="preserve"> </w:t>
      </w:r>
    </w:p>
    <w:tbl>
      <w:tblPr>
        <w:tblStyle w:val="TableGrid"/>
        <w:tblW w:w="0" w:type="auto"/>
        <w:tblLook w:val="04A0" w:firstRow="1" w:lastRow="0" w:firstColumn="1" w:lastColumn="0" w:noHBand="0" w:noVBand="1"/>
      </w:tblPr>
      <w:tblGrid>
        <w:gridCol w:w="9631"/>
      </w:tblGrid>
      <w:tr w:rsidR="00B83212" w:rsidTr="00B83212">
        <w:tc>
          <w:tcPr>
            <w:tcW w:w="9631" w:type="dxa"/>
          </w:tcPr>
          <w:p w:rsidR="00B83212" w:rsidRPr="00B83212" w:rsidRDefault="00B83212" w:rsidP="00B83212">
            <w:pPr>
              <w:pStyle w:val="ECCParagraph"/>
              <w:spacing w:after="0"/>
              <w:rPr>
                <w:i/>
              </w:rPr>
            </w:pPr>
            <w:r w:rsidRPr="00B83212">
              <w:rPr>
                <w:i/>
              </w:rPr>
              <w:t>For GSM-R, the following parameters apply:</w:t>
            </w:r>
          </w:p>
          <w:p w:rsidR="00B83212" w:rsidRPr="00B83212" w:rsidRDefault="00B83212" w:rsidP="00B83212">
            <w:pPr>
              <w:pStyle w:val="ECCBulletsLv1"/>
              <w:rPr>
                <w:i/>
              </w:rPr>
            </w:pPr>
            <w:r w:rsidRPr="00B83212">
              <w:rPr>
                <w:i/>
              </w:rPr>
              <w:t xml:space="preserve">GSM-R DL centre frequency </w:t>
            </w:r>
            <w:proofErr w:type="spellStart"/>
            <w:r w:rsidRPr="00B83212">
              <w:rPr>
                <w:i/>
              </w:rPr>
              <w:t>f</w:t>
            </w:r>
            <w:r w:rsidRPr="00B83212">
              <w:rPr>
                <w:i/>
                <w:vertAlign w:val="subscript"/>
              </w:rPr>
              <w:t>DL</w:t>
            </w:r>
            <w:proofErr w:type="spellEnd"/>
            <w:r w:rsidRPr="00B83212">
              <w:rPr>
                <w:i/>
              </w:rPr>
              <w:t xml:space="preserve"> = 921 MHz + </w:t>
            </w:r>
            <m:oMath>
              <m:r>
                <w:rPr>
                  <w:rFonts w:ascii="Cambria Math" w:hAnsi="Cambria Math"/>
                </w:rPr>
                <m:t>n</m:t>
              </m:r>
            </m:oMath>
            <w:r w:rsidRPr="00B83212">
              <w:rPr>
                <w:rFonts w:cs="Arial"/>
                <w:i/>
              </w:rPr>
              <w:t>×</w:t>
            </w:r>
            <w:r w:rsidRPr="00B83212">
              <w:rPr>
                <w:i/>
              </w:rPr>
              <w:t xml:space="preserve">0.2 MHz where </w:t>
            </w:r>
            <m:oMath>
              <m:d>
                <m:dPr>
                  <m:begChr m:val="{"/>
                  <m:endChr m:val="}"/>
                  <m:ctrlPr>
                    <w:rPr>
                      <w:rFonts w:ascii="Cambria Math" w:hAnsi="Cambria Math"/>
                      <w:i/>
                    </w:rPr>
                  </m:ctrlPr>
                </m:dPr>
                <m:e>
                  <m:r>
                    <w:rPr>
                      <w:rFonts w:ascii="Cambria Math" w:hAnsi="Cambria Math"/>
                    </w:rPr>
                    <m:t>n</m:t>
                  </m:r>
                  <m:r>
                    <m:rPr>
                      <m:scr m:val="double-struck"/>
                    </m:rPr>
                    <w:rPr>
                      <w:rFonts w:ascii="Cambria Math" w:hAnsi="Cambria Math"/>
                    </w:rPr>
                    <m:t xml:space="preserve">∈Z </m:t>
                  </m:r>
                </m:e>
                <m:e>
                  <m:r>
                    <w:rPr>
                      <w:rFonts w:ascii="Cambria Math" w:hAnsi="Cambria Math"/>
                    </w:rPr>
                    <m:t xml:space="preserve"> -7≤n≤19</m:t>
                  </m:r>
                </m:e>
              </m:d>
            </m:oMath>
          </w:p>
          <w:p w:rsidR="00B83212" w:rsidRPr="00B83212" w:rsidRDefault="00B83212" w:rsidP="00B83212">
            <w:pPr>
              <w:pStyle w:val="ECCBulletsLv1"/>
              <w:rPr>
                <w:i/>
              </w:rPr>
            </w:pPr>
            <w:r w:rsidRPr="00B83212">
              <w:rPr>
                <w:i/>
              </w:rPr>
              <w:t xml:space="preserve">GSM-R UL centre frequency </w:t>
            </w:r>
            <w:proofErr w:type="spellStart"/>
            <w:r w:rsidRPr="00B83212">
              <w:rPr>
                <w:i/>
              </w:rPr>
              <w:t>f</w:t>
            </w:r>
            <w:r w:rsidRPr="00B83212">
              <w:rPr>
                <w:i/>
                <w:vertAlign w:val="subscript"/>
              </w:rPr>
              <w:t>UL</w:t>
            </w:r>
            <w:proofErr w:type="spellEnd"/>
            <w:r w:rsidRPr="00B83212">
              <w:rPr>
                <w:i/>
              </w:rPr>
              <w:t xml:space="preserve"> = </w:t>
            </w:r>
            <w:proofErr w:type="spellStart"/>
            <w:r w:rsidRPr="00B83212">
              <w:rPr>
                <w:i/>
              </w:rPr>
              <w:t>f</w:t>
            </w:r>
            <w:r w:rsidRPr="00B83212">
              <w:rPr>
                <w:i/>
                <w:vertAlign w:val="subscript"/>
              </w:rPr>
              <w:t>DL</w:t>
            </w:r>
            <w:proofErr w:type="spellEnd"/>
            <w:r w:rsidRPr="00B83212">
              <w:rPr>
                <w:i/>
              </w:rPr>
              <w:t xml:space="preserve"> – 45 MHz</w:t>
            </w:r>
          </w:p>
          <w:p w:rsidR="00B83212" w:rsidRPr="00B83212" w:rsidRDefault="00B83212" w:rsidP="00583691">
            <w:pPr>
              <w:pStyle w:val="ECCBulletsLv1"/>
              <w:rPr>
                <w:i/>
              </w:rPr>
            </w:pPr>
            <w:r w:rsidRPr="00B83212">
              <w:rPr>
                <w:i/>
              </w:rPr>
              <w:t>GSM-R channel bandwidth is 200 kHz</w:t>
            </w:r>
          </w:p>
        </w:tc>
      </w:tr>
    </w:tbl>
    <w:p w:rsidR="00B83212" w:rsidRDefault="00B83212" w:rsidP="00B83212">
      <w:pPr>
        <w:spacing w:before="240"/>
        <w:rPr>
          <w:lang w:eastAsia="en-US"/>
        </w:rPr>
      </w:pPr>
      <w:r>
        <w:rPr>
          <w:lang w:eastAsia="en-US"/>
        </w:rPr>
        <w:t>The centre frequency of GSM-R is 200kHz based, which may have impact to the selection of channel raster for RMR 900MHz band.</w:t>
      </w:r>
    </w:p>
    <w:p w:rsidR="00B83212" w:rsidRDefault="00B83212" w:rsidP="00B83212">
      <w:pPr>
        <w:rPr>
          <w:b/>
          <w:i/>
          <w:lang w:val="en-US" w:eastAsia="en-US"/>
        </w:rPr>
      </w:pPr>
      <w:r>
        <w:rPr>
          <w:b/>
          <w:i/>
          <w:lang w:val="en-US" w:eastAsia="en-US"/>
        </w:rPr>
        <w:t>Observation</w:t>
      </w:r>
      <w:r>
        <w:rPr>
          <w:rFonts w:hint="eastAsia"/>
        </w:rPr>
        <w:t xml:space="preserve"> </w:t>
      </w:r>
      <w:r>
        <w:rPr>
          <w:b/>
          <w:i/>
        </w:rPr>
        <w:t>4</w:t>
      </w:r>
      <w:r w:rsidRPr="00583691">
        <w:rPr>
          <w:b/>
          <w:i/>
          <w:lang w:val="en-US" w:eastAsia="en-US"/>
        </w:rPr>
        <w:t>:</w:t>
      </w:r>
      <w:r>
        <w:rPr>
          <w:b/>
          <w:i/>
          <w:lang w:val="en-US" w:eastAsia="en-US"/>
        </w:rPr>
        <w:t xml:space="preserve"> Selection of channel raster of RMR 900MHz band should consider the technical conditions in </w:t>
      </w:r>
      <w:r w:rsidRPr="00B83212">
        <w:rPr>
          <w:b/>
          <w:i/>
          <w:lang w:val="en-US" w:eastAsia="en-US"/>
        </w:rPr>
        <w:t>in ECC Decision (20)02</w:t>
      </w:r>
      <w:r>
        <w:rPr>
          <w:b/>
          <w:i/>
          <w:lang w:val="en-US" w:eastAsia="en-US"/>
        </w:rPr>
        <w:t xml:space="preserve">. </w:t>
      </w:r>
    </w:p>
    <w:p w:rsidR="00A33E8E" w:rsidRDefault="00A33E8E" w:rsidP="00A33E8E">
      <w:pPr>
        <w:pStyle w:val="Heading1"/>
        <w:spacing w:after="240"/>
        <w:rPr>
          <w:rFonts w:eastAsia="宋体"/>
          <w:lang w:eastAsia="zh-CN"/>
        </w:rPr>
      </w:pPr>
      <w:r>
        <w:rPr>
          <w:rFonts w:eastAsia="宋体" w:hint="eastAsia"/>
          <w:lang w:eastAsia="zh-CN"/>
        </w:rPr>
        <w:t>Conclusion</w:t>
      </w:r>
    </w:p>
    <w:p w:rsidR="00C51158" w:rsidRDefault="005369EE" w:rsidP="005369EE">
      <w:r>
        <w:t xml:space="preserve">This contribution provides </w:t>
      </w:r>
      <w:r w:rsidR="00C51158">
        <w:t>som</w:t>
      </w:r>
      <w:r w:rsidR="00B83212">
        <w:t xml:space="preserve">e consideration for RMR </w:t>
      </w:r>
      <w:r w:rsidR="00C51158">
        <w:t>900MHz band.</w:t>
      </w:r>
    </w:p>
    <w:p w:rsidR="00C51158" w:rsidRDefault="00C51158" w:rsidP="00C51158">
      <w:pPr>
        <w:rPr>
          <w:b/>
          <w:i/>
          <w:lang w:val="en-US" w:eastAsia="en-US"/>
        </w:rPr>
      </w:pPr>
      <w:r w:rsidRPr="00583691">
        <w:rPr>
          <w:b/>
          <w:i/>
          <w:lang w:val="en-US" w:eastAsia="en-US"/>
        </w:rPr>
        <w:t xml:space="preserve">Observation </w:t>
      </w:r>
      <w:r>
        <w:rPr>
          <w:b/>
          <w:i/>
          <w:lang w:val="en-US" w:eastAsia="en-US"/>
        </w:rPr>
        <w:t>1</w:t>
      </w:r>
      <w:r w:rsidRPr="00583691">
        <w:rPr>
          <w:b/>
          <w:i/>
          <w:lang w:val="en-US" w:eastAsia="en-US"/>
        </w:rPr>
        <w:t>:</w:t>
      </w:r>
      <w:r>
        <w:rPr>
          <w:b/>
          <w:i/>
          <w:lang w:val="en-US" w:eastAsia="en-US"/>
        </w:rPr>
        <w:t xml:space="preserve"> Some description in the WID are deployment related, it should be clear that the newly introduced band shall not have impact to the incumbent deployed network. </w:t>
      </w:r>
    </w:p>
    <w:p w:rsidR="00C51158" w:rsidRDefault="00C51158" w:rsidP="00C51158">
      <w:pPr>
        <w:rPr>
          <w:b/>
          <w:i/>
          <w:lang w:val="en-US" w:eastAsia="en-US"/>
        </w:rPr>
      </w:pPr>
      <w:r w:rsidRPr="00583691">
        <w:rPr>
          <w:b/>
          <w:i/>
          <w:lang w:val="en-US" w:eastAsia="en-US"/>
        </w:rPr>
        <w:t xml:space="preserve">Observation </w:t>
      </w:r>
      <w:r>
        <w:rPr>
          <w:b/>
          <w:i/>
          <w:lang w:val="en-US" w:eastAsia="en-US"/>
        </w:rPr>
        <w:t>2</w:t>
      </w:r>
      <w:r w:rsidRPr="00583691">
        <w:rPr>
          <w:b/>
          <w:i/>
          <w:lang w:val="en-US" w:eastAsia="en-US"/>
        </w:rPr>
        <w:t xml:space="preserve">: </w:t>
      </w:r>
      <w:r>
        <w:rPr>
          <w:b/>
          <w:i/>
          <w:lang w:val="en-US" w:eastAsia="en-US"/>
        </w:rPr>
        <w:t xml:space="preserve">Requirement of BEM in the WID objective needs to be clarified. </w:t>
      </w:r>
    </w:p>
    <w:p w:rsidR="00C51158" w:rsidRDefault="00C51158" w:rsidP="00C51158">
      <w:pPr>
        <w:rPr>
          <w:b/>
          <w:i/>
          <w:lang w:val="en-US" w:eastAsia="en-US"/>
        </w:rPr>
      </w:pPr>
      <w:r>
        <w:rPr>
          <w:b/>
          <w:i/>
          <w:lang w:val="en-US" w:eastAsia="en-US"/>
        </w:rPr>
        <w:t>Observation</w:t>
      </w:r>
      <w:r>
        <w:rPr>
          <w:rFonts w:hint="eastAsia"/>
        </w:rPr>
        <w:t xml:space="preserve"> </w:t>
      </w:r>
      <w:r w:rsidRPr="00C901F9">
        <w:rPr>
          <w:b/>
          <w:i/>
        </w:rPr>
        <w:t>3</w:t>
      </w:r>
      <w:r w:rsidRPr="00583691">
        <w:rPr>
          <w:b/>
          <w:i/>
          <w:lang w:val="en-US" w:eastAsia="en-US"/>
        </w:rPr>
        <w:t xml:space="preserve">: </w:t>
      </w:r>
      <w:r>
        <w:rPr>
          <w:b/>
          <w:i/>
          <w:lang w:val="en-US" w:eastAsia="en-US"/>
        </w:rPr>
        <w:t xml:space="preserve">It’s not clear whether some regional regulatory requirements need to be considered to define some UE band specific requirements. </w:t>
      </w:r>
    </w:p>
    <w:p w:rsidR="00B83212" w:rsidRDefault="00B83212" w:rsidP="00B83212">
      <w:pPr>
        <w:rPr>
          <w:b/>
          <w:i/>
          <w:lang w:val="en-US" w:eastAsia="en-US"/>
        </w:rPr>
      </w:pPr>
      <w:r>
        <w:rPr>
          <w:b/>
          <w:i/>
          <w:lang w:val="en-US" w:eastAsia="en-US"/>
        </w:rPr>
        <w:t>Observation</w:t>
      </w:r>
      <w:r>
        <w:rPr>
          <w:rFonts w:hint="eastAsia"/>
        </w:rPr>
        <w:t xml:space="preserve"> </w:t>
      </w:r>
      <w:r>
        <w:rPr>
          <w:b/>
          <w:i/>
        </w:rPr>
        <w:t>4</w:t>
      </w:r>
      <w:r w:rsidRPr="00583691">
        <w:rPr>
          <w:b/>
          <w:i/>
          <w:lang w:val="en-US" w:eastAsia="en-US"/>
        </w:rPr>
        <w:t>:</w:t>
      </w:r>
      <w:r>
        <w:rPr>
          <w:b/>
          <w:i/>
          <w:lang w:val="en-US" w:eastAsia="en-US"/>
        </w:rPr>
        <w:t xml:space="preserve"> Selection of channel raster of RMR 900MHz band should consider the technical conditions in </w:t>
      </w:r>
      <w:r w:rsidRPr="00B83212">
        <w:rPr>
          <w:b/>
          <w:i/>
          <w:lang w:val="en-US" w:eastAsia="en-US"/>
        </w:rPr>
        <w:t>in ECC Decision (20)02</w:t>
      </w:r>
      <w:r>
        <w:rPr>
          <w:b/>
          <w:i/>
          <w:lang w:val="en-US" w:eastAsia="en-US"/>
        </w:rPr>
        <w:t xml:space="preserve">. </w:t>
      </w:r>
    </w:p>
    <w:p w:rsidR="005369EE" w:rsidRDefault="005369EE" w:rsidP="005369EE">
      <w:pPr>
        <w:rPr>
          <w:b/>
          <w:i/>
          <w:lang w:val="en-US" w:eastAsia="en-US"/>
        </w:rPr>
      </w:pPr>
      <w:r w:rsidRPr="005369EE">
        <w:rPr>
          <w:b/>
          <w:i/>
          <w:lang w:val="en-US" w:eastAsia="en-US"/>
        </w:rPr>
        <w:t xml:space="preserve">Proposal 1: It is proposed to </w:t>
      </w:r>
      <w:r w:rsidR="00C51158">
        <w:rPr>
          <w:b/>
          <w:i/>
          <w:lang w:val="en-US" w:eastAsia="en-US"/>
        </w:rPr>
        <w:t>have some clarification of the WID objectives and make clear of the aspects to be studied in both BS and UE sides</w:t>
      </w:r>
      <w:r w:rsidRPr="005369EE">
        <w:rPr>
          <w:b/>
          <w:i/>
          <w:lang w:val="en-US" w:eastAsia="en-US"/>
        </w:rPr>
        <w:t>.</w:t>
      </w:r>
    </w:p>
    <w:p w:rsidR="00C51158" w:rsidRDefault="00C51158" w:rsidP="00C51158">
      <w:pPr>
        <w:rPr>
          <w:b/>
          <w:i/>
          <w:lang w:val="en-US" w:eastAsia="en-US"/>
        </w:rPr>
      </w:pPr>
      <w:r>
        <w:rPr>
          <w:b/>
          <w:i/>
          <w:lang w:val="en-US" w:eastAsia="en-US"/>
        </w:rPr>
        <w:t>Proposal 2</w:t>
      </w:r>
      <w:r w:rsidRPr="005369EE">
        <w:rPr>
          <w:b/>
          <w:i/>
          <w:lang w:val="en-US" w:eastAsia="en-US"/>
        </w:rPr>
        <w:t xml:space="preserve">: </w:t>
      </w:r>
      <w:r>
        <w:rPr>
          <w:b/>
          <w:i/>
          <w:lang w:val="en-US" w:eastAsia="en-US"/>
        </w:rPr>
        <w:t xml:space="preserve">Make clear that the </w:t>
      </w:r>
      <w:r w:rsidR="00062C1B">
        <w:rPr>
          <w:b/>
          <w:i/>
          <w:lang w:val="en-US" w:eastAsia="en-US"/>
        </w:rPr>
        <w:t>newly introduced RMR bands shall not have impact to the deployed network.</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716384" w:rsidRPr="00716384">
        <w:t>RP-210878</w:t>
      </w:r>
      <w:r w:rsidR="005369EE">
        <w:t>,</w:t>
      </w:r>
      <w:r w:rsidR="005369EE" w:rsidRPr="005369EE">
        <w:t xml:space="preserve"> </w:t>
      </w:r>
      <w:r w:rsidR="00716384" w:rsidRPr="00716384">
        <w:t>New WID on introduction of 900 MHz spectrum to 5G NR applicable for Rail Mobile Radio</w:t>
      </w:r>
      <w:r w:rsidR="005369EE">
        <w:t xml:space="preserve">, </w:t>
      </w:r>
      <w:r w:rsidR="00716384">
        <w:t>UIC</w:t>
      </w:r>
    </w:p>
    <w:p w:rsidR="000367BA" w:rsidRDefault="000367BA" w:rsidP="00F71A33">
      <w:r>
        <w:t xml:space="preserve">[2] </w:t>
      </w:r>
      <w:r w:rsidR="008E5788">
        <w:t>R4-2107313</w:t>
      </w:r>
      <w:r>
        <w:t xml:space="preserve">, </w:t>
      </w:r>
      <w:r w:rsidRPr="000367BA">
        <w:t>On RMR 1900MHz band</w:t>
      </w:r>
      <w:r>
        <w:t xml:space="preserve">, Huawei, </w:t>
      </w:r>
      <w:proofErr w:type="spellStart"/>
      <w:r>
        <w:t>HiSilicon</w:t>
      </w:r>
      <w:proofErr w:type="spellEnd"/>
    </w:p>
    <w:sectPr w:rsidR="000367B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7BA" w:rsidRDefault="009F77BA" w:rsidP="0052762B">
      <w:r>
        <w:separator/>
      </w:r>
    </w:p>
  </w:endnote>
  <w:endnote w:type="continuationSeparator" w:id="0">
    <w:p w:rsidR="009F77BA" w:rsidRDefault="009F77B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7BA" w:rsidRDefault="009F77BA" w:rsidP="0052762B">
      <w:r>
        <w:separator/>
      </w:r>
    </w:p>
  </w:footnote>
  <w:footnote w:type="continuationSeparator" w:id="0">
    <w:p w:rsidR="009F77BA" w:rsidRDefault="009F77B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4"/>
  </w:num>
  <w:num w:numId="3">
    <w:abstractNumId w:val="29"/>
  </w:num>
  <w:num w:numId="4">
    <w:abstractNumId w:val="39"/>
  </w:num>
  <w:num w:numId="5">
    <w:abstractNumId w:val="1"/>
  </w:num>
  <w:num w:numId="6">
    <w:abstractNumId w:val="38"/>
  </w:num>
  <w:num w:numId="7">
    <w:abstractNumId w:val="20"/>
  </w:num>
  <w:num w:numId="8">
    <w:abstractNumId w:val="32"/>
  </w:num>
  <w:num w:numId="9">
    <w:abstractNumId w:val="41"/>
  </w:num>
  <w:num w:numId="10">
    <w:abstractNumId w:val="15"/>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3"/>
  </w:num>
  <w:num w:numId="19">
    <w:abstractNumId w:val="28"/>
  </w:num>
  <w:num w:numId="20">
    <w:abstractNumId w:val="26"/>
  </w:num>
  <w:num w:numId="21">
    <w:abstractNumId w:val="17"/>
  </w:num>
  <w:num w:numId="22">
    <w:abstractNumId w:val="7"/>
  </w:num>
  <w:num w:numId="23">
    <w:abstractNumId w:val="25"/>
  </w:num>
  <w:num w:numId="24">
    <w:abstractNumId w:val="37"/>
  </w:num>
  <w:num w:numId="25">
    <w:abstractNumId w:val="10"/>
  </w:num>
  <w:num w:numId="26">
    <w:abstractNumId w:val="36"/>
  </w:num>
  <w:num w:numId="27">
    <w:abstractNumId w:val="35"/>
  </w:num>
  <w:num w:numId="28">
    <w:abstractNumId w:val="21"/>
  </w:num>
  <w:num w:numId="29">
    <w:abstractNumId w:val="40"/>
  </w:num>
  <w:num w:numId="30">
    <w:abstractNumId w:val="30"/>
  </w:num>
  <w:num w:numId="31">
    <w:abstractNumId w:val="19"/>
  </w:num>
  <w:num w:numId="32">
    <w:abstractNumId w:val="33"/>
  </w:num>
  <w:num w:numId="33">
    <w:abstractNumId w:val="8"/>
  </w:num>
  <w:num w:numId="34">
    <w:abstractNumId w:val="11"/>
  </w:num>
  <w:num w:numId="35">
    <w:abstractNumId w:val="34"/>
  </w:num>
  <w:num w:numId="36">
    <w:abstractNumId w:val="22"/>
  </w:num>
  <w:num w:numId="37">
    <w:abstractNumId w:val="9"/>
  </w:num>
  <w:num w:numId="38">
    <w:abstractNumId w:val="31"/>
  </w:num>
  <w:num w:numId="39">
    <w:abstractNumId w:val="4"/>
  </w:num>
  <w:num w:numId="40">
    <w:abstractNumId w:val="27"/>
  </w:num>
  <w:num w:numId="41">
    <w:abstractNumId w:val="18"/>
  </w:num>
  <w:num w:numId="42">
    <w:abstractNumId w:val="16"/>
  </w:num>
  <w:num w:numId="43">
    <w:abstractNumId w:val="3"/>
  </w:num>
  <w:num w:numId="44">
    <w:abstractNumId w:val="13"/>
  </w:num>
  <w:num w:numId="4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BA"/>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27"/>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57"/>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CC"/>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84"/>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788"/>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45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17C"/>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2BA"/>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BA"/>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212"/>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94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uiPriority="35"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uiPriority w:val="99"/>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ECCParagraph">
    <w:name w:val="ECC Paragraph"/>
    <w:basedOn w:val="Normal"/>
    <w:rsid w:val="00B83212"/>
    <w:pPr>
      <w:overflowPunct/>
      <w:autoSpaceDE/>
      <w:autoSpaceDN/>
      <w:adjustRightInd/>
      <w:spacing w:after="240"/>
      <w:jc w:val="both"/>
      <w:textAlignment w:val="auto"/>
    </w:pPr>
    <w:rPr>
      <w:rFonts w:ascii="Arial" w:eastAsia="Times New Roman" w:hAnsi="Arial"/>
      <w:szCs w:val="24"/>
      <w:lang w:eastAsia="en-US"/>
    </w:rPr>
  </w:style>
  <w:style w:type="paragraph" w:customStyle="1" w:styleId="ECCAnnex-heading1">
    <w:name w:val="ECC Annex - heading1"/>
    <w:basedOn w:val="Heading1"/>
    <w:next w:val="ECCParagraph"/>
    <w:rsid w:val="00B83212"/>
    <w:pPr>
      <w:keepLines w:val="0"/>
      <w:pageBreakBefore/>
      <w:numPr>
        <w:numId w:val="44"/>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ECCParagraph"/>
    <w:rsid w:val="00B83212"/>
    <w:pPr>
      <w:numPr>
        <w:ilvl w:val="1"/>
        <w:numId w:val="44"/>
      </w:numPr>
      <w:spacing w:before="480" w:after="240"/>
    </w:pPr>
    <w:rPr>
      <w:rFonts w:ascii="Arial" w:eastAsia="Times New Roman" w:hAnsi="Arial"/>
      <w:b/>
      <w:caps/>
      <w:szCs w:val="24"/>
      <w:lang w:val="en-US" w:eastAsia="en-US"/>
    </w:rPr>
  </w:style>
  <w:style w:type="paragraph" w:customStyle="1" w:styleId="ECCAnnexheading3">
    <w:name w:val="ECC Annex heading3"/>
    <w:basedOn w:val="Normal"/>
    <w:next w:val="ECCParagraph"/>
    <w:rsid w:val="00B83212"/>
    <w:pPr>
      <w:numPr>
        <w:ilvl w:val="2"/>
        <w:numId w:val="44"/>
      </w:numPr>
      <w:spacing w:before="360" w:after="120"/>
    </w:pPr>
    <w:rPr>
      <w:rFonts w:ascii="Arial" w:eastAsia="Times New Roman" w:hAnsi="Arial"/>
      <w:b/>
      <w:szCs w:val="24"/>
      <w:lang w:val="en-US" w:eastAsia="en-US"/>
    </w:rPr>
  </w:style>
  <w:style w:type="paragraph" w:customStyle="1" w:styleId="ECCAnnexheading4">
    <w:name w:val="ECC Annex heading4"/>
    <w:basedOn w:val="Normal"/>
    <w:next w:val="ECCParagraph"/>
    <w:rsid w:val="00B83212"/>
    <w:pPr>
      <w:numPr>
        <w:ilvl w:val="3"/>
        <w:numId w:val="44"/>
      </w:numPr>
      <w:spacing w:before="360" w:after="120"/>
    </w:pPr>
    <w:rPr>
      <w:rFonts w:ascii="Arial" w:eastAsia="Times New Roman" w:hAnsi="Arial"/>
      <w:i/>
      <w:color w:val="D2232A"/>
      <w:szCs w:val="24"/>
      <w:lang w:val="en-US" w:eastAsia="en-US"/>
    </w:rPr>
  </w:style>
  <w:style w:type="paragraph" w:customStyle="1" w:styleId="ECCBulletsLv1">
    <w:name w:val="ECC Bullets Lv1"/>
    <w:basedOn w:val="Normal"/>
    <w:qFormat/>
    <w:rsid w:val="00B83212"/>
    <w:pPr>
      <w:numPr>
        <w:numId w:val="4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B83212"/>
    <w:rPr>
      <w:rFonts w:eastAsia="宋体"/>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B7336-1E20-4D8B-9F5A-75558FB55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2021-04-02T06:23:00Z</dcterms:created>
  <dcterms:modified xsi:type="dcterms:W3CDTF">2021-04-02T20:34:00Z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(3)GM/z2D6hjrbqbt7BvIUW0xOrF3omnI48twFmdEeCjpHTWe8/kCOHvt9ojfcOFyZNFydmsOEa
lUh1zLseqxc991NiYPGGh9FNIRsKZ/xwpTmgJrlLCTWUgFPplxWwsWFVis+3t1GA7WJi2BZd
dkPUei0SuXF7wVNVkKkjYmcMl8zsZJ7QsHNf+bu9kkhajlwfuVturyrvx9b/OHZza9OOihCC
KugpvmgBKrPFXT2ZlJ</vt:lpwstr>
  </property>
  <property fmtid="{D5CDD505-2E9C-101B-9397-08002B2CF9AE}" pid="15" name="_2015_ms_pID_725343_00">
    <vt:lpwstr>_2015_ms_pID_725343</vt:lpwstr>
  </property>
  <property fmtid="{D5CDD505-2E9C-101B-9397-08002B2CF9AE}" pid="16" name="_2015_ms_pID_7253431">
    <vt:lpwstr>oeMS9ER8p+E0eNcf6b9/g5CldBvaM6A8+W/mRBmoOSSTqZJMAusC9M
SaDbfx3hlFLYLzKb/tNW8Snrch3vMxMcIiikx/rH/vkuaIF89Im/DOmQ9rlvDlU+jMi1AERx
xsYotU2BQ1g+hmk+gQa4M+2VObZF1WLu75s6N6G5yzcRtG+xnbBOrnZKFKP30j0Kyzacbn59
tKOnxS7Qi/lfYS30zk1S62uup3LT1hu/U6Tv</vt:lpwstr>
  </property>
  <property fmtid="{D5CDD505-2E9C-101B-9397-08002B2CF9AE}" pid="17" name="_2015_ms_pID_7253431_00">
    <vt:lpwstr>_2015_ms_pID_7253431</vt:lpwstr>
  </property>
  <property fmtid="{D5CDD505-2E9C-101B-9397-08002B2CF9AE}" pid="18" name="_2015_ms_pID_7253432">
    <vt:lpwstr>NvGi037tXMo8aZ0OUbe5BAM=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